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D3" w:rsidRPr="00CD0DD3" w:rsidRDefault="00CD0DD3" w:rsidP="00CD0DD3">
      <w:pPr>
        <w:shd w:val="clear" w:color="auto" w:fill="FFFFFF"/>
        <w:spacing w:before="300" w:after="75" w:line="240" w:lineRule="auto"/>
        <w:outlineLvl w:val="2"/>
        <w:rPr>
          <w:rFonts w:ascii="RobotoWeb" w:eastAsia="Times New Roman" w:hAnsi="RobotoWeb" w:cs="Times New Roman"/>
          <w:b/>
          <w:bCs/>
          <w:color w:val="666666"/>
          <w:sz w:val="27"/>
          <w:szCs w:val="27"/>
          <w:lang w:eastAsia="cs-CZ"/>
        </w:rPr>
      </w:pPr>
      <w:r w:rsidRPr="00CD0DD3">
        <w:rPr>
          <w:rFonts w:ascii="RobotoWeb" w:eastAsia="Times New Roman" w:hAnsi="RobotoWeb" w:cs="Times New Roman"/>
          <w:b/>
          <w:bCs/>
          <w:color w:val="666666"/>
          <w:sz w:val="27"/>
          <w:szCs w:val="27"/>
          <w:lang w:eastAsia="cs-CZ"/>
        </w:rPr>
        <w:t>Vrácení přeplatku na místním poplatku</w:t>
      </w:r>
    </w:p>
    <w:p w:rsidR="00CD0DD3" w:rsidRPr="00CD0DD3" w:rsidRDefault="00CD0DD3" w:rsidP="00CD0DD3">
      <w:pPr>
        <w:shd w:val="clear" w:color="auto" w:fill="FFFFFF"/>
        <w:spacing w:before="300" w:after="75" w:line="240" w:lineRule="auto"/>
        <w:outlineLvl w:val="3"/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  <w:t>Základní informace: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Eviduje-li správce poplatku na osobním daňovém účtu poplatníka vyšší částku, než která odpovídá výši poplatku, kterou je daňový subjekt povinen uhradit, vzniká přeplatek. Přeplatek je definován v § 154 odst. 1 daňového řádu jako částka, o kterou úhrn plateb a vratek na kreditní straně osobního daňového účtu převyšuje úhrn předpisů a odpisů na debetní straně osobního daňového účtu.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Z hlediska daňového řádu je nutno rozlišit pojem přeplatek a vratitelný přeplatek. Přeplatek se stane přeplatkem vratitelným, pokud poplatník nemá u správce poplatku evidovaný jiný nedoplatek na témže či jiném osobním daňovém účtu (tj. neuhrazený poplatek či její příslušenství), příp. jiný správce daně nepožádá o převedení tohoto přeplatku na úhradu jím evidovaného nedoplatku.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V případě, že daňovému subjektu vznikne na osobním daňovém účtu vratitelný přeplatek, může požádat o jeho vrácení.</w:t>
      </w:r>
    </w:p>
    <w:p w:rsidR="00CD0DD3" w:rsidRPr="00CD0DD3" w:rsidRDefault="00CD0DD3" w:rsidP="00CD0DD3">
      <w:pPr>
        <w:shd w:val="clear" w:color="auto" w:fill="FFFFFF"/>
        <w:spacing w:before="300" w:after="75" w:line="240" w:lineRule="auto"/>
        <w:outlineLvl w:val="3"/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  <w:t>Kdo je oprávněn v této věci jednat (podat žádost apod.):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V této věci je oprávněn jednat: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poplatník - fyzická osoba,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poplatník - právnická osoba; za právnickou osobu jedná statutární orgán nebo ten, kdo prokáže, že je oprávněn jednat jejím jménem podle jiného právního předpisu,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zákonný zástupce nebo opatrovník fyzické osoby, která nemůže před správcem poplatku jednat z důvodu omezené svéprávnosti (zejm. pro nedostatek věku nebo z důvodu jejího omezení soudem),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zmocněnec zvolený poplatníkem nebo ustanovený zástupce,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společný zmocněnec či společný zástupce,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zaměstnanec právnické osoby nebo jiná fyzická osoba, která vykonává činnost této právnické osoby - právnická osoba je může pověřit, aby jednali jejím jménem před správcem poplatku v rozsahu tohoto pověření,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zaměstnanec podnikající fyzické osoby nebo jiná fyzická osoba pověřená k tomu, aby jednala jejím jménem před správcem poplatku v rozsahu tohoto pověření,</w:t>
      </w:r>
    </w:p>
    <w:p w:rsidR="00CD0DD3" w:rsidRPr="00CD0DD3" w:rsidRDefault="00CD0DD3" w:rsidP="00CD0DD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375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prokurista právnické osoby - při správě poplatku je oprávněn jednat jejím jménem, může-li podle udělené prokury jednat samostatně.</w:t>
      </w:r>
    </w:p>
    <w:p w:rsidR="00CD0DD3" w:rsidRPr="00CD0DD3" w:rsidRDefault="00CD0DD3" w:rsidP="00CD0DD3">
      <w:pPr>
        <w:shd w:val="clear" w:color="auto" w:fill="FFFFFF"/>
        <w:spacing w:before="300" w:after="75" w:line="240" w:lineRule="auto"/>
        <w:outlineLvl w:val="3"/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  <w:t>Jaké jsou podmínky a postup pro řešení životní situace: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Přeplatek se vrací na základě žádosti poplatníka případně osoby oprávněné jednat jménem poplatníka. Přeplatek se vrátí, činí-li nejméně 100 Kč a nemá-li současně poplatník nedoplatek na jiném poplatku u téhož správce poplatku, nebo neuplatnil-li požadavek na úhradu nedoplatku jiný správce daně. Činí-li daňový přeplatek méně než 100 Kč, správce poplatku jej vrátí jen ve výjimečných případech tak, aby byla zajištěna zásada hospodárnosti. Pokud poplatník o vrácení vratitelného přeplatku nepožádá, platí, že tento přeplatek zůstává jako platba na dosud neuhrazenou daň na osobním daňovém účtu, na kterém je evidován. Z moci úřední vrací správce daně vratitelný přeplatek, pokud tak stanoví zákon.</w:t>
      </w:r>
    </w:p>
    <w:p w:rsidR="00CD0DD3" w:rsidRPr="00CD0DD3" w:rsidRDefault="00CD0DD3" w:rsidP="00CD0DD3">
      <w:pPr>
        <w:shd w:val="clear" w:color="auto" w:fill="FFFFFF"/>
        <w:spacing w:before="300" w:after="75" w:line="240" w:lineRule="auto"/>
        <w:outlineLvl w:val="3"/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b/>
          <w:bCs/>
          <w:color w:val="666666"/>
          <w:sz w:val="24"/>
          <w:szCs w:val="24"/>
          <w:lang w:eastAsia="cs-CZ"/>
        </w:rPr>
        <w:lastRenderedPageBreak/>
        <w:t>Jakým způsobem můžete zahájit řešení této životní situace: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Písemnou žádost o vrácení přeplatku na místním poplatku můžete podat osobně nebo prostřednictvím jiné osoby oprávněné v této věci jednat. Ze žádosti musí být patrno, kdo ji činí, z kterého poplatku má být přeplatek vrácen, jaká výše má být vrácena a zda má být přeplatek vrácen na adresu nebo na bankovní účet. V případě požadavku vrácení přeplatku na bankovní účet je třeba uvést číslo účtu.</w:t>
      </w:r>
    </w:p>
    <w:p w:rsidR="00CD0DD3" w:rsidRPr="00CD0DD3" w:rsidRDefault="00CD0DD3" w:rsidP="00CD0DD3">
      <w:pPr>
        <w:shd w:val="clear" w:color="auto" w:fill="FFFFFF"/>
        <w:spacing w:before="120" w:after="0" w:line="240" w:lineRule="auto"/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</w:pP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 xml:space="preserve">Formulář je nutné doručit na </w:t>
      </w:r>
      <w:r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Městský úřad Lom</w:t>
      </w:r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 xml:space="preserve">, a to buď osobně na ekonomický odbor nebo na podatelnu úřadu, prostřednictvím pošty, nebo elektronicky. </w:t>
      </w:r>
      <w:bookmarkStart w:id="0" w:name="_GoBack"/>
      <w:bookmarkEnd w:id="0"/>
      <w:r w:rsidRPr="00CD0DD3">
        <w:rPr>
          <w:rFonts w:ascii="RobotoWeb" w:eastAsia="Times New Roman" w:hAnsi="RobotoWeb" w:cs="Times New Roman"/>
          <w:color w:val="666666"/>
          <w:sz w:val="24"/>
          <w:szCs w:val="24"/>
          <w:lang w:eastAsia="cs-CZ"/>
        </w:rPr>
        <w:t>Podání lze učinit rovněž ústně do protokolu. Písemná podání a podání ústně do protokolu musí být podepsána osobou, která je činí.</w:t>
      </w:r>
    </w:p>
    <w:p w:rsidR="001E6EEA" w:rsidRDefault="001E6EEA"/>
    <w:sectPr w:rsidR="001E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1FE2"/>
    <w:multiLevelType w:val="multilevel"/>
    <w:tmpl w:val="A580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3"/>
    <w:rsid w:val="001E6EEA"/>
    <w:rsid w:val="00230D5D"/>
    <w:rsid w:val="00C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FB6B-7C40-49A6-96B2-C7FEDDCC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D0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0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0D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0D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0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Baxová</dc:creator>
  <cp:keywords/>
  <dc:description/>
  <cp:lastModifiedBy>Baxová</cp:lastModifiedBy>
  <cp:revision>1</cp:revision>
  <dcterms:created xsi:type="dcterms:W3CDTF">2018-12-17T15:01:00Z</dcterms:created>
  <dcterms:modified xsi:type="dcterms:W3CDTF">2018-12-17T15:02:00Z</dcterms:modified>
</cp:coreProperties>
</file>